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Calibri" w:hAnsi="Calibri" w:cs="Calibri"/>
          <w:i w:val="0"/>
          <w:iCs w:val="0"/>
          <w:caps w:val="0"/>
          <w:color w:val="2B2B2B"/>
          <w:spacing w:val="0"/>
          <w:sz w:val="21"/>
          <w:szCs w:val="21"/>
        </w:rPr>
      </w:pPr>
      <w:r>
        <w:rPr>
          <w:rFonts w:hint="eastAsia" w:ascii="黑体" w:hAnsi="宋体" w:eastAsia="黑体" w:cs="黑体"/>
          <w:i w:val="0"/>
          <w:iCs w:val="0"/>
          <w:caps w:val="0"/>
          <w:color w:val="000000"/>
          <w:spacing w:val="0"/>
          <w:kern w:val="0"/>
          <w:sz w:val="32"/>
          <w:szCs w:val="32"/>
          <w:shd w:val="clear" w:color="auto" w:fill="FFFFFF"/>
          <w:lang w:val="en-US" w:eastAsia="zh-CN" w:bidi="ar"/>
        </w:rPr>
        <w:t>附件</w:t>
      </w:r>
      <w:r>
        <w:rPr>
          <w:rFonts w:hint="default" w:ascii="Calibri" w:hAnsi="Calibri" w:eastAsia="宋体" w:cs="Calibri"/>
          <w:i w:val="0"/>
          <w:iCs w:val="0"/>
          <w:caps w:val="0"/>
          <w:color w:val="000000"/>
          <w:spacing w:val="0"/>
          <w:kern w:val="0"/>
          <w:sz w:val="32"/>
          <w:szCs w:val="32"/>
          <w:shd w:val="clear" w:color="auto" w:fill="FFFFFF"/>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Calibri" w:hAnsi="Calibri" w:cs="Calibri"/>
          <w:i w:val="0"/>
          <w:iCs w:val="0"/>
          <w:caps w:val="0"/>
          <w:color w:val="2B2B2B"/>
          <w:spacing w:val="0"/>
          <w:sz w:val="21"/>
          <w:szCs w:val="21"/>
        </w:rPr>
      </w:pPr>
      <w:r>
        <w:rPr>
          <w:rFonts w:hint="default" w:ascii="Calibri" w:hAnsi="Calibri" w:eastAsia="宋体" w:cs="Calibri"/>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Calibri" w:hAnsi="Calibri" w:cs="Calibri"/>
          <w:i w:val="0"/>
          <w:iCs w:val="0"/>
          <w:caps w:val="0"/>
          <w:color w:val="2B2B2B"/>
          <w:spacing w:val="0"/>
          <w:sz w:val="21"/>
          <w:szCs w:val="21"/>
        </w:rPr>
      </w:pPr>
      <w:r>
        <w:rPr>
          <w:rFonts w:hint="default" w:ascii="方正小标宋_GBK" w:hAnsi="方正小标宋_GBK" w:eastAsia="方正小标宋_GBK" w:cs="方正小标宋_GBK"/>
          <w:i w:val="0"/>
          <w:iCs w:val="0"/>
          <w:caps w:val="0"/>
          <w:color w:val="000000"/>
          <w:spacing w:val="0"/>
          <w:kern w:val="0"/>
          <w:sz w:val="44"/>
          <w:szCs w:val="44"/>
          <w:shd w:val="clear" w:color="auto" w:fill="FFFFFF"/>
          <w:lang w:val="en-US" w:eastAsia="zh-CN" w:bidi="ar"/>
        </w:rPr>
        <w:t>小额贷款公司分类评级指标说明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Calibri" w:hAnsi="Calibri" w:cs="Calibri"/>
          <w:i w:val="0"/>
          <w:iCs w:val="0"/>
          <w:caps w:val="0"/>
          <w:color w:val="2B2B2B"/>
          <w:spacing w:val="0"/>
          <w:sz w:val="21"/>
          <w:szCs w:val="21"/>
        </w:rPr>
      </w:pPr>
      <w:r>
        <w:rPr>
          <w:rFonts w:hint="default" w:ascii="Calibri" w:hAnsi="Calibri" w:eastAsia="宋体" w:cs="Calibri"/>
          <w:i w:val="0"/>
          <w:iCs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1.信贷资产周转率</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信贷资产周转率=当年累计发放贷款总额/净资产×100%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2.贷款投向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普惠金融重点服务对象贷款率=当年新增该类贷款总额（剔除重合）／当年累计发放贷款总额×100%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普惠金融重点服务对象包括小微企业及企业主、个体工商户、农民、城镇低收入人群等。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3.贷款集中度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笔均贷款额=当年发放贷款总额/当年发放贷款笔数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4.利率水平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贷款年化平均综合利率=∑（当年各项贷款年化综合收益率×贷款本金）/∑贷款本金。贷款年化综合收益率=（小额贷款公司收取的包括利息及与贷款直接相关的各类费用在内的所有贷款成本/贷款本金）×（365/借款实际占用天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5.净资产收益率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净资产收益率=净利润/净资产×100%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6.税收贡献度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税负率=当年应纳税总额/营业收入×100%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当年应纳税总额为汇算清缴前的当年应纳税总额，剔除企业所得税。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7.经营区域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小额贷款公司批复中载明的经营区域。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8.财务制度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小额贷款公司执行财政部《金融企业财务规则》。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9.关联方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    根据财政部《企业会计准则第36号关联方披露》规定，一方控制、共同控制另一方或者对另一方施加重大影响，以及两方或者两方以上同受一方控制、共同控制或者重大影响的。仅仅同受国家控制而不存在其他关联方关系的企业，不构成关联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10.贷款风险分类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小额贷款公司资产按照风险程度分为五类，分别是正常、关注、次级、可疑和损失五类，后三类合称不良贷款。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11.不良贷款率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不良贷款率=不良贷款余额／年末贷款余额×100%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12.准备金计提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方正仿宋_GBK" w:hAnsi="方正仿宋_GBK" w:eastAsia="方正仿宋_GBK" w:cs="方正仿宋_GBK"/>
          <w:i w:val="0"/>
          <w:iCs w:val="0"/>
          <w:caps w:val="0"/>
          <w:color w:val="2B2B2B"/>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color="auto" w:fill="FFFFFF"/>
          <w:lang w:val="en-US" w:eastAsia="zh-CN" w:bidi="ar"/>
        </w:rPr>
        <w:t>参照财政部《金融企业准备金计提管理办法》（财金〔2012〕20号）的有关规定执行。</w:t>
      </w: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71D01"/>
    <w:rsid w:val="3FFDD28C"/>
    <w:rsid w:val="7BFD4CD4"/>
    <w:rsid w:val="7C971D01"/>
    <w:rsid w:val="7FFE7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8.33333333333333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2023-10-09T05:17:00Z</dcterms:created>
  <dc:creator>user</dc:creator>
  <cp:lastModifiedBy>user</cp:lastModifiedBy>
  <dcterms:modified xsi:type="dcterms:W3CDTF">2023-10-09T12:49:40Z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