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36"/>
          <w:szCs w:val="36"/>
          <w:lang w:eastAsia="zh-CN"/>
        </w:rPr>
      </w:pPr>
      <w:r>
        <w:rPr>
          <w:rFonts w:hint="eastAsia" w:ascii="方正黑体_GBK" w:hAnsi="方正黑体_GBK" w:eastAsia="方正黑体_GBK" w:cs="方正黑体_GBK"/>
          <w:sz w:val="36"/>
          <w:szCs w:val="36"/>
          <w:lang w:eastAsia="zh-CN"/>
        </w:rPr>
        <w:t>小额贷款公司年审情况核查表</w:t>
      </w:r>
      <w:bookmarkStart w:id="0" w:name="_GoBack"/>
      <w:bookmarkEnd w:id="0"/>
    </w:p>
    <w:p>
      <w:pPr>
        <w:pStyle w:val="2"/>
        <w:jc w:val="center"/>
        <w:rPr>
          <w:rFonts w:hint="eastAsia"/>
          <w:sz w:val="36"/>
          <w:szCs w:val="36"/>
          <w:lang w:eastAsia="zh-CN"/>
        </w:rPr>
      </w:pPr>
      <w:r>
        <w:rPr>
          <w:rFonts w:hint="eastAsia" w:ascii="方正黑体_GBK" w:hAnsi="方正黑体_GBK" w:eastAsia="方正黑体_GBK" w:cs="方正黑体_GBK"/>
          <w:sz w:val="36"/>
          <w:szCs w:val="36"/>
          <w:lang w:eastAsia="zh-CN"/>
        </w:rPr>
        <w:t>（</w:t>
      </w:r>
      <w:r>
        <w:rPr>
          <w:rFonts w:hint="eastAsia" w:ascii="方正黑体_GBK" w:hAnsi="方正黑体_GBK" w:eastAsia="方正黑体_GBK" w:cs="方正黑体_GBK"/>
          <w:sz w:val="36"/>
          <w:szCs w:val="36"/>
          <w:lang w:val="en-US" w:eastAsia="zh-CN"/>
        </w:rPr>
        <w:t>2021年度</w:t>
      </w:r>
      <w:r>
        <w:rPr>
          <w:rFonts w:hint="eastAsia" w:ascii="方正黑体_GBK" w:hAnsi="方正黑体_GBK" w:eastAsia="方正黑体_GBK" w:cs="方正黑体_GBK"/>
          <w:sz w:val="36"/>
          <w:szCs w:val="36"/>
          <w:lang w:eastAsia="zh-CN"/>
        </w:rPr>
        <w:t>）</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公司名称：</w:t>
      </w:r>
      <w:r>
        <w:rPr>
          <w:rFonts w:hint="eastAsia" w:ascii="方正仿宋_GBK" w:hAnsi="方正仿宋_GBK" w:eastAsia="方正仿宋_GBK" w:cs="方正仿宋_GBK"/>
          <w:sz w:val="32"/>
          <w:szCs w:val="32"/>
          <w:lang w:val="en-US" w:eastAsia="zh-CN"/>
        </w:rPr>
        <w:t xml:space="preserve">                                                 </w:t>
      </w:r>
    </w:p>
    <w:tbl>
      <w:tblPr>
        <w:tblStyle w:val="6"/>
        <w:tblW w:w="14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2"/>
        <w:gridCol w:w="660"/>
        <w:gridCol w:w="4245"/>
        <w:gridCol w:w="390"/>
        <w:gridCol w:w="420"/>
        <w:gridCol w:w="3510"/>
        <w:gridCol w:w="3363"/>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主要</w:t>
            </w:r>
          </w:p>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事项</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序号</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具体事项</w:t>
            </w:r>
          </w:p>
        </w:tc>
        <w:tc>
          <w:tcPr>
            <w:tcW w:w="39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是</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否</w:t>
            </w:r>
          </w:p>
        </w:tc>
        <w:tc>
          <w:tcPr>
            <w:tcW w:w="351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具体</w:t>
            </w:r>
          </w:p>
        </w:tc>
        <w:tc>
          <w:tcPr>
            <w:tcW w:w="336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整改情况</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黑体_GBK" w:hAnsi="方正黑体_GBK" w:eastAsia="方正黑体_GBK" w:cs="方正黑体_GBK"/>
                <w:sz w:val="21"/>
                <w:szCs w:val="21"/>
                <w:vertAlign w:val="baseline"/>
                <w:lang w:val="en-US" w:eastAsia="zh-CN"/>
              </w:rPr>
            </w:pPr>
            <w:r>
              <w:rPr>
                <w:rFonts w:hint="eastAsia" w:ascii="方正黑体_GBK" w:hAnsi="方正黑体_GBK" w:eastAsia="方正黑体_GBK" w:cs="方正黑体_GBK"/>
                <w:sz w:val="21"/>
                <w:szCs w:val="21"/>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（一）公司内部治理规范性</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1</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是否根据本公司实际，设置科学高效的公司治理结构；</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2</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是否明确股东会、董事会、监事会、高级管理层的议事规则和决策程序；</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00"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3</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lang w:eastAsia="zh-CN"/>
              </w:rPr>
            </w:pPr>
            <w:r>
              <w:rPr>
                <w:rFonts w:hint="eastAsia" w:ascii="方正仿宋_GBK" w:hAnsi="方正仿宋_GBK" w:eastAsia="方正仿宋_GBK" w:cs="方正仿宋_GBK"/>
                <w:color w:val="000000"/>
                <w:spacing w:val="15"/>
                <w:kern w:val="0"/>
                <w:sz w:val="21"/>
                <w:szCs w:val="21"/>
                <w:lang w:eastAsia="zh-CN"/>
              </w:rPr>
              <w:t>是否建立贷款业务管理制度、财务管理制度、风险管理制度、信息披露制度、拨备损失计提制度；</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95"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4</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违反制度的行为是否及时整改并纠正。</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5"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lang w:val="en-US" w:eastAsia="zh-CN"/>
              </w:rPr>
              <w:t>（二）资金来源合规情况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color w:val="040404"/>
                <w:kern w:val="0"/>
                <w:sz w:val="21"/>
                <w:szCs w:val="21"/>
                <w:lang w:val="en-US" w:eastAsia="zh-CN"/>
              </w:rPr>
            </w:pPr>
            <w:r>
              <w:rPr>
                <w:rFonts w:hint="eastAsia" w:ascii="方正仿宋_GBK" w:hAnsi="方正仿宋_GBK" w:eastAsia="方正仿宋_GBK" w:cs="方正仿宋_GBK"/>
                <w:color w:val="040404"/>
                <w:kern w:val="0"/>
                <w:sz w:val="21"/>
                <w:szCs w:val="21"/>
                <w:lang w:val="en-US" w:eastAsia="zh-CN"/>
              </w:rPr>
              <w:t>5</w:t>
            </w:r>
          </w:p>
        </w:tc>
        <w:tc>
          <w:tcPr>
            <w:tcW w:w="4245" w:type="dxa"/>
            <w:noWrap w:val="0"/>
            <w:vAlign w:val="center"/>
          </w:tcPr>
          <w:p>
            <w:pPr>
              <w:pStyle w:val="2"/>
              <w:keepNext w:val="0"/>
              <w:keepLines w:val="0"/>
              <w:pageBreakBefore w:val="0"/>
              <w:kinsoku/>
              <w:wordWrap/>
              <w:overflowPunct/>
              <w:topLinePunct w:val="0"/>
              <w:autoSpaceDE/>
              <w:autoSpaceDN/>
              <w:bidi w:val="0"/>
              <w:adjustRightInd/>
              <w:snapToGrid/>
              <w:spacing w:line="220" w:lineRule="exact"/>
              <w:ind w:left="0" w:leftChars="0" w:firstLine="0" w:firstLineChars="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40404"/>
                <w:kern w:val="0"/>
                <w:sz w:val="21"/>
                <w:szCs w:val="21"/>
              </w:rPr>
              <w:t>是否存在吸收或者变相吸收社会存款、私自发布理财产品、进行任何形式的非法集资活动等现象</w:t>
            </w:r>
            <w:r>
              <w:rPr>
                <w:rFonts w:hint="eastAsia" w:ascii="方正仿宋_GBK" w:hAnsi="方正仿宋_GBK" w:eastAsia="方正仿宋_GBK" w:cs="方正仿宋_GBK"/>
                <w:color w:val="040404"/>
                <w:kern w:val="0"/>
                <w:sz w:val="21"/>
                <w:szCs w:val="21"/>
                <w:lang w:eastAsia="zh-CN"/>
              </w:rPr>
              <w:t>；</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6</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40404"/>
                <w:kern w:val="0"/>
                <w:sz w:val="21"/>
                <w:szCs w:val="21"/>
                <w:lang w:eastAsia="zh-CN"/>
              </w:rPr>
            </w:pPr>
            <w:r>
              <w:rPr>
                <w:rFonts w:hint="eastAsia" w:ascii="方正仿宋_GBK" w:hAnsi="方正仿宋_GBK" w:eastAsia="方正仿宋_GBK" w:cs="方正仿宋_GBK"/>
                <w:color w:val="040404"/>
                <w:kern w:val="0"/>
                <w:sz w:val="21"/>
                <w:szCs w:val="21"/>
              </w:rPr>
              <w:t>是否存在违规增资扩股、以借贷资金入股、以他人委托资金入股的现象</w:t>
            </w:r>
            <w:r>
              <w:rPr>
                <w:rFonts w:hint="eastAsia" w:ascii="方正仿宋_GBK" w:hAnsi="方正仿宋_GBK" w:eastAsia="方正仿宋_GBK" w:cs="方正仿宋_GBK"/>
                <w:color w:val="040404"/>
                <w:kern w:val="0"/>
                <w:sz w:val="21"/>
                <w:szCs w:val="21"/>
                <w:lang w:eastAsia="zh-CN"/>
              </w:rPr>
              <w:t>；</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color w:val="040404"/>
                <w:kern w:val="0"/>
                <w:sz w:val="21"/>
                <w:szCs w:val="21"/>
                <w:lang w:val="en-US" w:eastAsia="zh-CN"/>
              </w:rPr>
            </w:pPr>
            <w:r>
              <w:rPr>
                <w:rFonts w:hint="eastAsia" w:ascii="方正仿宋_GBK" w:hAnsi="方正仿宋_GBK" w:eastAsia="方正仿宋_GBK" w:cs="方正仿宋_GBK"/>
                <w:color w:val="040404"/>
                <w:kern w:val="0"/>
                <w:sz w:val="21"/>
                <w:szCs w:val="21"/>
                <w:lang w:val="en-US" w:eastAsia="zh-CN"/>
              </w:rPr>
              <w:t>7</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40404"/>
                <w:kern w:val="0"/>
                <w:sz w:val="21"/>
                <w:szCs w:val="21"/>
                <w:lang w:eastAsia="zh-CN"/>
              </w:rPr>
            </w:pPr>
            <w:r>
              <w:rPr>
                <w:rFonts w:hint="eastAsia" w:ascii="方正仿宋_GBK" w:hAnsi="方正仿宋_GBK" w:eastAsia="方正仿宋_GBK" w:cs="方正仿宋_GBK"/>
                <w:color w:val="040404"/>
                <w:kern w:val="0"/>
                <w:sz w:val="21"/>
                <w:szCs w:val="21"/>
              </w:rPr>
              <w:t>是否按监管要求进行融资</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4040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5"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（三）业务经营合规情况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8</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40404"/>
                <w:kern w:val="0"/>
                <w:sz w:val="21"/>
                <w:szCs w:val="21"/>
              </w:rPr>
              <w:t>贷款台账登记</w:t>
            </w:r>
            <w:r>
              <w:rPr>
                <w:rFonts w:hint="eastAsia" w:ascii="方正仿宋_GBK" w:hAnsi="方正仿宋_GBK" w:eastAsia="方正仿宋_GBK" w:cs="方正仿宋_GBK"/>
                <w:color w:val="040404"/>
                <w:kern w:val="0"/>
                <w:sz w:val="21"/>
                <w:szCs w:val="21"/>
                <w:lang w:eastAsia="zh-CN"/>
              </w:rPr>
              <w:t>是否完整</w:t>
            </w:r>
            <w:r>
              <w:rPr>
                <w:rFonts w:hint="eastAsia" w:ascii="方正仿宋_GBK" w:hAnsi="方正仿宋_GBK" w:eastAsia="方正仿宋_GBK" w:cs="方正仿宋_GBK"/>
                <w:color w:val="040404"/>
                <w:kern w:val="0"/>
                <w:sz w:val="21"/>
                <w:szCs w:val="21"/>
              </w:rPr>
              <w:t>、贷款档案是否完整；</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15"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9</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lang w:val="en-US" w:eastAsia="zh-CN"/>
              </w:rPr>
              <w:t>贷款合同签订是否规范，</w:t>
            </w:r>
            <w:r>
              <w:rPr>
                <w:rFonts w:hint="eastAsia" w:ascii="方正仿宋_GBK" w:hAnsi="方正仿宋_GBK" w:eastAsia="方正仿宋_GBK" w:cs="方正仿宋_GBK"/>
                <w:color w:val="000000"/>
                <w:spacing w:val="15"/>
                <w:kern w:val="0"/>
                <w:sz w:val="21"/>
                <w:szCs w:val="21"/>
              </w:rPr>
              <w:t>是否违反贷款利率政策，发放高利贷，是否从贷款本金中先行扣除利息、手续费、管理费、保证金等</w:t>
            </w:r>
            <w:r>
              <w:rPr>
                <w:rFonts w:hint="eastAsia" w:ascii="方正仿宋_GBK" w:hAnsi="方正仿宋_GBK" w:eastAsia="方正仿宋_GBK" w:cs="方正仿宋_GBK"/>
                <w:color w:val="000000"/>
                <w:spacing w:val="15"/>
                <w:kern w:val="0"/>
                <w:sz w:val="21"/>
                <w:szCs w:val="21"/>
                <w:lang w:eastAsia="zh-CN"/>
              </w:rPr>
              <w:t>；</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10</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是否向本公司股东、董事、监事和高级管理人员及其关联方提供贷款；</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11</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是否通过互联网平台或者地方各类交易场所销售、转让本公司除不良信贷资产以外的其他信贷资产；</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12</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lang w:eastAsia="zh-CN"/>
              </w:rPr>
            </w:pPr>
            <w:r>
              <w:rPr>
                <w:rFonts w:hint="eastAsia" w:ascii="方正仿宋_GBK" w:hAnsi="方正仿宋_GBK" w:eastAsia="方正仿宋_GBK" w:cs="方正仿宋_GBK"/>
                <w:color w:val="000000"/>
                <w:spacing w:val="15"/>
                <w:kern w:val="0"/>
                <w:sz w:val="21"/>
                <w:szCs w:val="21"/>
                <w:lang w:eastAsia="zh-CN"/>
              </w:rPr>
              <w:t>是否</w:t>
            </w:r>
            <w:r>
              <w:rPr>
                <w:rFonts w:hint="eastAsia" w:ascii="方正仿宋_GBK" w:hAnsi="方正仿宋_GBK" w:eastAsia="方正仿宋_GBK" w:cs="方正仿宋_GBK"/>
                <w:color w:val="000000"/>
                <w:spacing w:val="15"/>
                <w:kern w:val="0"/>
                <w:sz w:val="21"/>
                <w:szCs w:val="21"/>
              </w:rPr>
              <w:t>发行或者代理销售理财、信托计划等资产管理产品；</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13</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是否存在对同一借款人的贷款余额超过公司净资产的5%，对同一借款人及其关联方的贷款余额超过小额贷款公司净资产的15%；</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14</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lang w:eastAsia="zh-CN"/>
              </w:rPr>
              <w:t>权益类投资业务是否超过注册资本的</w:t>
            </w:r>
            <w:r>
              <w:rPr>
                <w:rFonts w:hint="eastAsia" w:ascii="方正仿宋_GBK" w:hAnsi="方正仿宋_GBK" w:eastAsia="方正仿宋_GBK" w:cs="方正仿宋_GBK"/>
                <w:color w:val="000000"/>
                <w:spacing w:val="15"/>
                <w:kern w:val="0"/>
                <w:sz w:val="21"/>
                <w:szCs w:val="21"/>
                <w:lang w:val="en-US" w:eastAsia="zh-CN"/>
              </w:rPr>
              <w:t>30%</w:t>
            </w:r>
            <w:r>
              <w:rPr>
                <w:rFonts w:hint="eastAsia" w:ascii="方正仿宋_GBK" w:hAnsi="方正仿宋_GBK" w:eastAsia="方正仿宋_GBK" w:cs="方正仿宋_GBK"/>
                <w:color w:val="000000"/>
                <w:spacing w:val="15"/>
                <w:kern w:val="0"/>
                <w:sz w:val="21"/>
                <w:szCs w:val="21"/>
              </w:rPr>
              <w:t>；</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15</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是否使用合规资金来源以外的其他资金发放贷款；</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91"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16</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是否在核准的地域范围外经营业务；</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4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17</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是否使用非法手段催收贷款；</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18</w:t>
            </w:r>
          </w:p>
        </w:tc>
        <w:tc>
          <w:tcPr>
            <w:tcW w:w="424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20" w:lineRule="exact"/>
              <w:ind w:right="1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是否经营其他未经批准和违法违规的业务。</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50"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（四）财务管理合规情况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19</w:t>
            </w:r>
          </w:p>
        </w:tc>
        <w:tc>
          <w:tcPr>
            <w:tcW w:w="4245" w:type="dxa"/>
            <w:noWrap w:val="0"/>
            <w:vAlign w:val="center"/>
          </w:tcPr>
          <w:p>
            <w:pPr>
              <w:pStyle w:val="2"/>
              <w:keepNext w:val="0"/>
              <w:keepLines w:val="0"/>
              <w:pageBreakBefore w:val="0"/>
              <w:kinsoku/>
              <w:wordWrap/>
              <w:overflowPunct/>
              <w:topLinePunct w:val="0"/>
              <w:autoSpaceDE/>
              <w:autoSpaceDN/>
              <w:bidi w:val="0"/>
              <w:adjustRightInd/>
              <w:snapToGrid/>
              <w:spacing w:after="0" w:line="220" w:lineRule="exact"/>
              <w:ind w:left="0" w:leftChars="0" w:right="0" w:firstLine="0" w:firstLineChars="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是否建立和执行会计核算制度；</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00"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20</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是否存在法定会计账簿以外另设会计账簿、在财务会计报告等材料上作虚假记载及隐瞒重要事实的行为</w:t>
            </w:r>
            <w:r>
              <w:rPr>
                <w:rFonts w:hint="eastAsia" w:ascii="方正仿宋_GBK" w:hAnsi="方正仿宋_GBK" w:eastAsia="方正仿宋_GBK" w:cs="方正仿宋_GBK"/>
                <w:color w:val="000000"/>
                <w:spacing w:val="15"/>
                <w:kern w:val="0"/>
                <w:sz w:val="21"/>
                <w:szCs w:val="21"/>
                <w:lang w:eastAsia="zh-CN"/>
              </w:rPr>
              <w:t>；</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85"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21</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是否开展年度会计审计工作。</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0"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（五）资金运用合规情况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22</w:t>
            </w:r>
          </w:p>
        </w:tc>
        <w:tc>
          <w:tcPr>
            <w:tcW w:w="4245" w:type="dxa"/>
            <w:noWrap w:val="0"/>
            <w:vAlign w:val="center"/>
          </w:tcPr>
          <w:p>
            <w:pPr>
              <w:pStyle w:val="2"/>
              <w:keepNext w:val="0"/>
              <w:keepLines w:val="0"/>
              <w:pageBreakBefore w:val="0"/>
              <w:numPr>
                <w:ilvl w:val="0"/>
                <w:numId w:val="0"/>
              </w:numPr>
              <w:kinsoku/>
              <w:wordWrap/>
              <w:overflowPunct/>
              <w:topLinePunct w:val="0"/>
              <w:autoSpaceDE/>
              <w:autoSpaceDN/>
              <w:bidi w:val="0"/>
              <w:adjustRightInd/>
              <w:snapToGrid/>
              <w:spacing w:after="0" w:line="220" w:lineRule="exact"/>
              <w:ind w:right="0" w:rightChars="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是否与借款人明确约定贷款用途，贷款用途是否符合法律法规、国家宏观调控和产业政策；</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0"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23</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小额贷款公司贷款是否用于股票、金融衍生品等投资、房地产市场违规融资及法律法规、银保监会和地方金融监管部门禁止的其他用途；</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0"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24</w:t>
            </w:r>
          </w:p>
        </w:tc>
        <w:tc>
          <w:tcPr>
            <w:tcW w:w="4245" w:type="dxa"/>
            <w:noWrap w:val="0"/>
            <w:vAlign w:val="center"/>
          </w:tcPr>
          <w:p>
            <w:pPr>
              <w:pStyle w:val="2"/>
              <w:keepNext w:val="0"/>
              <w:keepLines w:val="0"/>
              <w:pageBreakBefore w:val="0"/>
              <w:numPr>
                <w:ilvl w:val="0"/>
                <w:numId w:val="0"/>
              </w:numPr>
              <w:kinsoku/>
              <w:wordWrap/>
              <w:overflowPunct/>
              <w:topLinePunct w:val="0"/>
              <w:autoSpaceDE/>
              <w:autoSpaceDN/>
              <w:bidi w:val="0"/>
              <w:adjustRightInd/>
              <w:snapToGrid/>
              <w:spacing w:after="0" w:line="220" w:lineRule="exact"/>
              <w:ind w:right="0" w:rightChars="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是否存在违规转让质押或以应收账款、其他应收款、委托贷款、投资等形式挪用、抽逃或变相抽逃问题。</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13"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color w:val="000000"/>
                <w:spacing w:val="15"/>
                <w:kern w:val="0"/>
                <w:sz w:val="21"/>
                <w:szCs w:val="21"/>
                <w:lang w:eastAsia="zh-CN"/>
              </w:rPr>
              <w:t>（六）账户管理合规</w:t>
            </w:r>
            <w:r>
              <w:rPr>
                <w:rFonts w:hint="eastAsia" w:ascii="方正仿宋_GBK" w:hAnsi="方正仿宋_GBK" w:eastAsia="方正仿宋_GBK" w:cs="方正仿宋_GBK"/>
                <w:color w:val="000000"/>
                <w:spacing w:val="15"/>
                <w:kern w:val="0"/>
                <w:sz w:val="21"/>
                <w:szCs w:val="21"/>
              </w:rPr>
              <w:t>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25</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是否对放贷资金（含自有资金及外部融入资金）实施专户管理，所有放贷资金是否进入放贷专户，是否存在账外经营；</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3"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26</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银行账户是否超过3个，是否通过不同账户对日常开支与放贷资金分开结算；</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8"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27</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公司银行账户是否及时向</w:t>
            </w:r>
            <w:r>
              <w:rPr>
                <w:rFonts w:hint="eastAsia" w:ascii="方正仿宋_GBK" w:hAnsi="方正仿宋_GBK" w:eastAsia="方正仿宋_GBK" w:cs="方正仿宋_GBK"/>
                <w:color w:val="000000"/>
                <w:spacing w:val="15"/>
                <w:kern w:val="0"/>
                <w:sz w:val="21"/>
                <w:szCs w:val="21"/>
                <w:lang w:eastAsia="zh-CN"/>
              </w:rPr>
              <w:t>属地监管部门</w:t>
            </w:r>
            <w:r>
              <w:rPr>
                <w:rFonts w:hint="eastAsia" w:ascii="方正仿宋_GBK" w:hAnsi="方正仿宋_GBK" w:eastAsia="方正仿宋_GBK" w:cs="方正仿宋_GBK"/>
                <w:color w:val="000000"/>
                <w:spacing w:val="15"/>
                <w:kern w:val="0"/>
                <w:sz w:val="21"/>
                <w:szCs w:val="21"/>
              </w:rPr>
              <w:t>报备；</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8"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28</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是否定期提供放贷专户运营报告和开户银行出具的放贷专户资金流水明细。</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color w:val="000000"/>
                <w:spacing w:val="15"/>
                <w:kern w:val="0"/>
                <w:sz w:val="21"/>
                <w:szCs w:val="21"/>
                <w:lang w:eastAsia="zh-CN"/>
              </w:rPr>
              <w:t>（七）风险管理情况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29</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是否落实贷款“三查”、审贷分离、等信贷业务管理制度</w:t>
            </w:r>
            <w:r>
              <w:rPr>
                <w:rFonts w:hint="eastAsia" w:ascii="方正仿宋_GBK" w:hAnsi="方正仿宋_GBK" w:eastAsia="方正仿宋_GBK" w:cs="方正仿宋_GBK"/>
                <w:color w:val="000000"/>
                <w:spacing w:val="15"/>
                <w:kern w:val="0"/>
                <w:sz w:val="21"/>
                <w:szCs w:val="21"/>
                <w:lang w:eastAsia="zh-CN"/>
              </w:rPr>
              <w:t>；</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1"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30</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lang w:eastAsia="zh-CN"/>
              </w:rPr>
            </w:pPr>
            <w:r>
              <w:rPr>
                <w:rFonts w:hint="eastAsia" w:ascii="方正仿宋_GBK" w:hAnsi="方正仿宋_GBK" w:eastAsia="方正仿宋_GBK" w:cs="方正仿宋_GBK"/>
                <w:color w:val="000000"/>
                <w:spacing w:val="15"/>
                <w:kern w:val="0"/>
                <w:sz w:val="21"/>
                <w:szCs w:val="21"/>
                <w:lang w:eastAsia="zh-CN"/>
              </w:rPr>
              <w:t>是否落实</w:t>
            </w:r>
            <w:r>
              <w:rPr>
                <w:rFonts w:hint="eastAsia" w:ascii="方正仿宋_GBK" w:hAnsi="方正仿宋_GBK" w:eastAsia="方正仿宋_GBK" w:cs="方正仿宋_GBK"/>
                <w:color w:val="000000"/>
                <w:spacing w:val="15"/>
                <w:kern w:val="0"/>
                <w:sz w:val="21"/>
                <w:szCs w:val="21"/>
              </w:rPr>
              <w:t>贷款风险</w:t>
            </w:r>
            <w:r>
              <w:rPr>
                <w:rFonts w:hint="eastAsia" w:ascii="方正仿宋_GBK" w:hAnsi="方正仿宋_GBK" w:eastAsia="方正仿宋_GBK" w:cs="方正仿宋_GBK"/>
                <w:color w:val="000000"/>
                <w:spacing w:val="15"/>
                <w:kern w:val="0"/>
                <w:sz w:val="21"/>
                <w:szCs w:val="21"/>
                <w:lang w:eastAsia="zh-CN"/>
              </w:rPr>
              <w:t>五级</w:t>
            </w:r>
            <w:r>
              <w:rPr>
                <w:rFonts w:hint="eastAsia" w:ascii="方正仿宋_GBK" w:hAnsi="方正仿宋_GBK" w:eastAsia="方正仿宋_GBK" w:cs="方正仿宋_GBK"/>
                <w:color w:val="000000"/>
                <w:spacing w:val="15"/>
                <w:kern w:val="0"/>
                <w:sz w:val="21"/>
                <w:szCs w:val="21"/>
              </w:rPr>
              <w:t>分类制度</w:t>
            </w:r>
            <w:r>
              <w:rPr>
                <w:rFonts w:hint="eastAsia" w:ascii="方正仿宋_GBK" w:hAnsi="方正仿宋_GBK" w:eastAsia="方正仿宋_GBK" w:cs="方正仿宋_GBK"/>
                <w:color w:val="000000"/>
                <w:spacing w:val="15"/>
                <w:kern w:val="0"/>
                <w:sz w:val="21"/>
                <w:szCs w:val="21"/>
                <w:lang w:eastAsia="zh-CN"/>
              </w:rPr>
              <w:t>；</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1" w:hRule="atLeast"/>
        </w:trPr>
        <w:tc>
          <w:tcPr>
            <w:tcW w:w="922" w:type="dxa"/>
            <w:vMerge w:val="continue"/>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31</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是否科学足额计提准备金。</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24"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lang w:eastAsia="zh-CN"/>
              </w:rPr>
              <w:t>（八）</w:t>
            </w:r>
            <w:r>
              <w:rPr>
                <w:rFonts w:hint="eastAsia" w:ascii="方正仿宋_GBK" w:hAnsi="方正仿宋_GBK" w:eastAsia="方正仿宋_GBK" w:cs="方正仿宋_GBK"/>
                <w:color w:val="000000"/>
                <w:spacing w:val="15"/>
                <w:kern w:val="0"/>
                <w:sz w:val="21"/>
                <w:szCs w:val="21"/>
              </w:rPr>
              <w:t>配合监管情况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32</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spacing w:val="15"/>
                <w:kern w:val="0"/>
                <w:sz w:val="21"/>
                <w:szCs w:val="21"/>
              </w:rPr>
              <w:t>是否按照要求向监管部门报送经营报告、财务报告、年度审计报告等文件、资料或者业务开展情况及重大风险事件；</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74" w:hRule="atLeast"/>
        </w:trPr>
        <w:tc>
          <w:tcPr>
            <w:tcW w:w="922"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33</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非现场监管系统填报是否及时准确，是否提交虚假的经营报告、财务报告、年度审计报告等文件、资料；</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74" w:hRule="atLeast"/>
        </w:trPr>
        <w:tc>
          <w:tcPr>
            <w:tcW w:w="922"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34</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rPr>
            </w:pPr>
            <w:r>
              <w:rPr>
                <w:rFonts w:hint="eastAsia" w:ascii="方正仿宋_GBK" w:hAnsi="方正仿宋_GBK" w:eastAsia="方正仿宋_GBK" w:cs="方正仿宋_GBK"/>
                <w:color w:val="000000"/>
                <w:spacing w:val="15"/>
                <w:kern w:val="0"/>
                <w:sz w:val="21"/>
                <w:szCs w:val="21"/>
              </w:rPr>
              <w:t>是否存在拒绝或者阻碍监管部门和有关部门依法监管检查的情况。</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4" w:hRule="atLeast"/>
        </w:trPr>
        <w:tc>
          <w:tcPr>
            <w:tcW w:w="922"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lang w:eastAsia="zh-CN"/>
              </w:rPr>
            </w:pPr>
            <w:r>
              <w:rPr>
                <w:rFonts w:hint="eastAsia" w:ascii="方正仿宋_GBK" w:hAnsi="方正仿宋_GBK" w:eastAsia="方正仿宋_GBK" w:cs="方正仿宋_GBK"/>
                <w:color w:val="000000"/>
                <w:spacing w:val="15"/>
                <w:kern w:val="0"/>
                <w:sz w:val="21"/>
                <w:szCs w:val="21"/>
                <w:lang w:eastAsia="zh-CN"/>
              </w:rPr>
              <w:t>（九）其他合规情况</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35</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方正仿宋_GBK" w:hAnsi="方正仿宋_GBK" w:eastAsia="方正仿宋_GBK" w:cs="方正仿宋_GBK"/>
                <w:color w:val="000000"/>
                <w:spacing w:val="15"/>
                <w:kern w:val="0"/>
                <w:sz w:val="21"/>
                <w:szCs w:val="21"/>
                <w:lang w:eastAsia="zh-CN"/>
              </w:rPr>
            </w:pPr>
            <w:r>
              <w:rPr>
                <w:rFonts w:hint="eastAsia" w:ascii="方正仿宋_GBK" w:hAnsi="方正仿宋_GBK" w:eastAsia="方正仿宋_GBK" w:cs="方正仿宋_GBK"/>
                <w:color w:val="000000"/>
                <w:spacing w:val="15"/>
                <w:kern w:val="0"/>
                <w:sz w:val="21"/>
                <w:szCs w:val="21"/>
                <w:lang w:eastAsia="zh-CN"/>
              </w:rPr>
              <w:t>是否为失联或空壳公司；</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71" w:hRule="atLeast"/>
        </w:trPr>
        <w:tc>
          <w:tcPr>
            <w:tcW w:w="922"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lang w:eastAsia="zh-CN"/>
              </w:rPr>
            </w:pPr>
          </w:p>
        </w:tc>
        <w:tc>
          <w:tcPr>
            <w:tcW w:w="66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val="en-US" w:eastAsia="zh-CN"/>
              </w:rPr>
              <w:t>36</w:t>
            </w:r>
          </w:p>
        </w:tc>
        <w:tc>
          <w:tcPr>
            <w:tcW w:w="4245" w:type="dxa"/>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default" w:ascii="方正仿宋_GBK" w:hAnsi="方正仿宋_GBK" w:eastAsia="方正仿宋_GBK" w:cs="方正仿宋_GBK"/>
                <w:color w:val="000000"/>
                <w:spacing w:val="15"/>
                <w:kern w:val="0"/>
                <w:sz w:val="21"/>
                <w:szCs w:val="21"/>
                <w:lang w:val="en-US" w:eastAsia="zh-CN"/>
              </w:rPr>
            </w:pPr>
            <w:r>
              <w:rPr>
                <w:rFonts w:hint="eastAsia" w:ascii="方正仿宋_GBK" w:hAnsi="方正仿宋_GBK" w:eastAsia="方正仿宋_GBK" w:cs="方正仿宋_GBK"/>
                <w:color w:val="000000"/>
                <w:spacing w:val="15"/>
                <w:kern w:val="0"/>
                <w:sz w:val="21"/>
                <w:szCs w:val="21"/>
                <w:lang w:eastAsia="zh-CN"/>
              </w:rPr>
              <w:t>不良贷款率是否高于（等于）</w:t>
            </w:r>
            <w:r>
              <w:rPr>
                <w:rFonts w:hint="eastAsia" w:ascii="方正仿宋_GBK" w:hAnsi="方正仿宋_GBK" w:eastAsia="方正仿宋_GBK" w:cs="方正仿宋_GBK"/>
                <w:color w:val="000000"/>
                <w:spacing w:val="15"/>
                <w:kern w:val="0"/>
                <w:sz w:val="21"/>
                <w:szCs w:val="21"/>
                <w:lang w:val="en-US" w:eastAsia="zh-CN"/>
              </w:rPr>
              <w:t>80%。</w:t>
            </w:r>
          </w:p>
        </w:tc>
        <w:tc>
          <w:tcPr>
            <w:tcW w:w="3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42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51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3363"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c>
          <w:tcPr>
            <w:tcW w:w="1290" w:type="dxa"/>
            <w:noWrap w:val="0"/>
            <w:vAlign w:val="top"/>
          </w:tcPr>
          <w:p>
            <w:pPr>
              <w:keepNext w:val="0"/>
              <w:keepLines w:val="0"/>
              <w:pageBreakBefore w:val="0"/>
              <w:kinsoku/>
              <w:wordWrap/>
              <w:overflowPunct/>
              <w:topLinePunct w:val="0"/>
              <w:autoSpaceDE/>
              <w:autoSpaceDN/>
              <w:bidi w:val="0"/>
              <w:adjustRightInd/>
              <w:snapToGrid/>
              <w:spacing w:line="220" w:lineRule="exact"/>
              <w:jc w:val="both"/>
              <w:textAlignment w:val="auto"/>
              <w:rPr>
                <w:rFonts w:hint="eastAsia" w:ascii="方正仿宋_GBK" w:hAnsi="方正仿宋_GBK" w:eastAsia="方正仿宋_GBK" w:cs="方正仿宋_GBK"/>
                <w:color w:val="000000"/>
                <w:spacing w:val="15"/>
                <w:kern w:val="0"/>
                <w:sz w:val="21"/>
                <w:szCs w:val="21"/>
              </w:rPr>
            </w:pP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28"/>
          <w:szCs w:val="28"/>
          <w:lang w:val="en-US" w:eastAsia="zh-CN"/>
        </w:rPr>
        <w:t>注： 本表由地（州、市）小额贷款公司监督管理部门填写，小额贷款公司在每页表头盖章。</w:t>
      </w:r>
      <w:r>
        <w:rPr>
          <w:rFonts w:hint="eastAsia" w:ascii="方正仿宋_GBK" w:hAnsi="方正仿宋_GBK" w:eastAsia="方正仿宋_GBK" w:cs="方正仿宋_GBK"/>
          <w:sz w:val="32"/>
          <w:szCs w:val="32"/>
          <w:lang w:val="en-US" w:eastAsia="zh-CN"/>
        </w:rPr>
        <w:t xml:space="preserve">                                      </w:t>
      </w: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A7C746"/>
    <w:rsid w:val="3F77B526"/>
    <w:rsid w:val="438F4256"/>
    <w:rsid w:val="5F6F46CE"/>
    <w:rsid w:val="6BBBDCE6"/>
    <w:rsid w:val="DF771023"/>
    <w:rsid w:val="EFA7C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11.3333333333333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2022-04-15T02:48:00Z</dcterms:created>
  <dc:creator>user</dc:creator>
  <cp:lastModifiedBy>user</cp:lastModifiedBy>
  <dcterms:modified xsi:type="dcterms:W3CDTF">2022-04-15T11:57:10Z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